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val="false"/>
          <w:spacing w:val="30"/>
          <w:sz w:val="22"/>
          <w:szCs w:val="24"/>
        </w:rPr>
      </w:pPr>
      <w:r>
        <w:rPr>
          <w:sz w:val="22"/>
          <w:szCs w:val="24"/>
        </w:rPr>
        <w:t>Договор о задатке №____</w:t>
      </w:r>
    </w:p>
    <w:p>
      <w:pPr>
        <w:pStyle w:val="Heading"/>
        <w:rPr>
          <w:b w:val="false"/>
          <w:bCs w:val="false"/>
          <w:spacing w:val="30"/>
          <w:sz w:val="22"/>
          <w:szCs w:val="24"/>
        </w:rPr>
      </w:pPr>
      <w:r>
        <w:rPr>
          <w:b w:val="false"/>
          <w:bCs w:val="false"/>
          <w:spacing w:val="30"/>
          <w:sz w:val="22"/>
          <w:szCs w:val="24"/>
        </w:rPr>
      </w:r>
    </w:p>
    <w:p>
      <w:pPr>
        <w:pStyle w:val="Normal"/>
        <w:ind w:right="-1"/>
        <w:jc w:val="center"/>
        <w:rPr>
          <w:spacing w:val="30"/>
          <w:sz w:val="22"/>
        </w:rPr>
      </w:pPr>
      <w:r>
        <w:rPr>
          <w:b/>
          <w:bCs/>
          <w:sz w:val="22"/>
          <w:szCs w:val="22"/>
        </w:rPr>
        <w:t xml:space="preserve">г. Магнитогорск                                </w:t>
        <w:tab/>
        <w:tab/>
        <w:tab/>
        <w:t xml:space="preserve">                                                      __________ 2025  г.</w:t>
      </w:r>
    </w:p>
    <w:p>
      <w:pPr>
        <w:pStyle w:val="Heading"/>
        <w:rPr>
          <w:b w:val="false"/>
          <w:bCs w:val="false"/>
          <w:spacing w:val="30"/>
          <w:sz w:val="22"/>
          <w:szCs w:val="24"/>
        </w:rPr>
      </w:pPr>
      <w:r>
        <w:rPr>
          <w:b w:val="false"/>
          <w:bCs w:val="false"/>
          <w:spacing w:val="30"/>
          <w:sz w:val="22"/>
          <w:szCs w:val="24"/>
        </w:rPr>
      </w:r>
    </w:p>
    <w:p>
      <w:pPr>
        <w:pStyle w:val="Normal"/>
        <w:ind w:firstLine="567"/>
        <w:jc w:val="both"/>
        <w:rPr/>
      </w:pPr>
      <w:r>
        <w:rPr>
          <w:b/>
          <w:sz w:val="22"/>
          <w:szCs w:val="22"/>
          <w:shd w:fill="auto" w:val="clear"/>
        </w:rPr>
        <w:t>Организатор торгов</w:t>
      </w:r>
      <w:r>
        <w:rPr>
          <w:sz w:val="22"/>
          <w:szCs w:val="22"/>
          <w:shd w:fill="auto" w:val="clear"/>
        </w:rPr>
        <w:t xml:space="preserve"> - финансовый управляющий Антоновой (Гореловой) Валентины Алексеевны (дата рождения: 03.10.1954, место рождения: гор. Магнитогорск Челябинской обл., место жительства: 457441, Челябинская обл, Агаповский р-н, поселок Первомайский, ул Набережная, д 24А , ИНН 742500705952, СНИЛС 02553182431), Янулис Мария Викторовна (ИНН 020100678650, СНИЛС 104-857-068 57, адрес для направления корреспонденции финансовому управляющему: 455037, Челябинская обл, г Магнитогорск, а/я 1981,) – член Союза СРО "ГАУ" (ОГРН 1021603626098, ИНН 1660062005, адрес: : 420034, Респ Татарстан, г Казань, </w:t>
      </w:r>
      <w:r>
        <w:rPr>
          <w:sz w:val="22"/>
          <w:szCs w:val="22"/>
          <w:shd w:fill="FFFFFF" w:val="clear"/>
        </w:rPr>
        <w:t>ул. Соловецких Юнг, д. 7, оф. 1004), действующая на основании решения Арбитражного суда Челябинской области от 30.07.2025 по делу №А76-21045/2025</w:t>
      </w:r>
      <w:r>
        <w:rPr>
          <w:rStyle w:val="PlaceholderText"/>
          <w:color w:val="000000"/>
          <w:sz w:val="22"/>
          <w:szCs w:val="22"/>
        </w:rPr>
        <w:t>,</w:t>
      </w:r>
      <w:r>
        <w:rPr>
          <w:sz w:val="22"/>
          <w:szCs w:val="22"/>
        </w:rPr>
        <w:t xml:space="preserve"> с одной стороны, и </w:t>
      </w:r>
    </w:p>
    <w:p>
      <w:pPr>
        <w:pStyle w:val="Normal"/>
        <w:ind w:firstLine="567"/>
        <w:jc w:val="both"/>
        <w:rPr/>
      </w:pPr>
      <w:r>
        <w:rPr/>
      </w:r>
    </w:p>
    <w:p>
      <w:pPr>
        <w:pStyle w:val="Normal"/>
        <w:ind w:firstLine="567"/>
        <w:jc w:val="both"/>
        <w:rPr>
          <w:sz w:val="22"/>
          <w:szCs w:val="22"/>
        </w:rPr>
      </w:pPr>
      <w:r>
        <w:rPr>
          <w:b/>
          <w:sz w:val="22"/>
          <w:szCs w:val="22"/>
        </w:rPr>
        <w:t xml:space="preserve">претендент </w:t>
      </w:r>
      <w:r>
        <w:rPr>
          <w:sz w:val="22"/>
          <w:szCs w:val="22"/>
        </w:rPr>
        <w:t>на участие в торгах по продаже Имущества  в ходе процедуры банкротства:</w:t>
      </w:r>
    </w:p>
    <w:p>
      <w:pPr>
        <w:pStyle w:val="Normal"/>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 присоединившийся к настоящему Договору, именуемый в дальнейшем «Претендент», с другой стороны, в соответствии с требованиями ст.ст.380, 381, 428 ГК РФ, заключили настоящий Договор (далее – Договор) о нижеследующем:</w:t>
      </w:r>
    </w:p>
    <w:p>
      <w:pPr>
        <w:pStyle w:val="Normal"/>
        <w:ind w:firstLine="567"/>
        <w:jc w:val="both"/>
        <w:rPr>
          <w:bCs/>
          <w:sz w:val="22"/>
          <w:szCs w:val="22"/>
          <w:shd w:fill="FFFFFF" w:val="clear"/>
        </w:rPr>
      </w:pPr>
      <w:r>
        <w:rPr>
          <w:sz w:val="22"/>
          <w:szCs w:val="22"/>
        </w:rPr>
        <w:t xml:space="preserve">1. В соответствии с условиями настоящего Договора Претендент для участия в </w:t>
      </w:r>
      <w:r>
        <w:rPr>
          <w:sz w:val="22"/>
          <w:szCs w:val="22"/>
          <w:lang w:eastAsia="en-US"/>
        </w:rPr>
        <w:t>открытых торгах с открытой формой подачи предложений о цене в офисе арбитражного управляющего по адресу: 455037, Челябинская обл, г Магнитогорск, пр-кт Карла Маркса, д 152, либо удаленно с помощью программы ZOOM, а в случае невозможности путём использования WhatsApp по продаже имущества Антоновой (Гореловой) Валентины Алексеевны (далее – Имущество, Лот)</w:t>
      </w:r>
      <w:r>
        <w:rPr>
          <w:sz w:val="22"/>
          <w:szCs w:val="22"/>
        </w:rPr>
        <w:t xml:space="preserve"> перечисляет денежные средства </w:t>
      </w:r>
      <w:r>
        <w:rPr>
          <w:b/>
          <w:sz w:val="22"/>
          <w:szCs w:val="22"/>
        </w:rPr>
        <w:t xml:space="preserve">в размере 20 (Двадцать) % от начальной цены </w:t>
      </w:r>
      <w:r>
        <w:rPr>
          <w:b/>
          <w:bCs/>
          <w:sz w:val="22"/>
          <w:szCs w:val="22"/>
        </w:rPr>
        <w:t>Лота</w:t>
      </w:r>
      <w:r>
        <w:rPr>
          <w:bCs/>
          <w:sz w:val="22"/>
          <w:szCs w:val="22"/>
        </w:rPr>
        <w:t xml:space="preserve"> </w:t>
      </w:r>
      <w:r>
        <w:rPr>
          <w:sz w:val="22"/>
          <w:szCs w:val="22"/>
        </w:rPr>
        <w:t>(далее – «Задаток») на нижеуказанный специальный счет:</w:t>
      </w:r>
      <w:r>
        <w:rPr>
          <w:bCs/>
          <w:sz w:val="22"/>
          <w:szCs w:val="22"/>
          <w:shd w:fill="FFFFFF" w:val="clear"/>
        </w:rPr>
        <w:t xml:space="preserve"> </w:t>
      </w:r>
    </w:p>
    <w:p>
      <w:pPr>
        <w:pStyle w:val="Normal"/>
        <w:ind w:firstLine="851"/>
        <w:jc w:val="both"/>
        <w:rPr>
          <w:bCs/>
          <w:sz w:val="22"/>
          <w:szCs w:val="22"/>
          <w:shd w:fill="FFFFFF" w:val="clear"/>
        </w:rPr>
      </w:pPr>
      <w:r>
        <w:rPr>
          <w:bCs/>
          <w:sz w:val="22"/>
          <w:szCs w:val="22"/>
          <w:shd w:fill="FFFFFF" w:val="clear"/>
        </w:rPr>
        <w:t>Получатель: Антонова Валентина Алексеевна</w:t>
      </w:r>
    </w:p>
    <w:p>
      <w:pPr>
        <w:pStyle w:val="Normal"/>
        <w:ind w:firstLine="851"/>
        <w:jc w:val="both"/>
        <w:rPr>
          <w:bCs/>
          <w:sz w:val="22"/>
          <w:szCs w:val="22"/>
          <w:shd w:fill="FFFFFF" w:val="clear"/>
        </w:rPr>
      </w:pPr>
      <w:r>
        <w:rPr>
          <w:bCs/>
          <w:sz w:val="22"/>
          <w:szCs w:val="22"/>
          <w:shd w:fill="FFFFFF" w:val="clear"/>
        </w:rPr>
        <w:t>ИНН 4401116480</w:t>
      </w:r>
    </w:p>
    <w:p>
      <w:pPr>
        <w:pStyle w:val="Normal"/>
        <w:ind w:firstLine="851"/>
        <w:jc w:val="both"/>
        <w:rPr>
          <w:bCs/>
          <w:sz w:val="22"/>
          <w:szCs w:val="22"/>
          <w:shd w:fill="FFFFFF" w:val="clear"/>
        </w:rPr>
      </w:pPr>
      <w:r>
        <w:rPr>
          <w:bCs/>
          <w:sz w:val="22"/>
          <w:szCs w:val="22"/>
          <w:shd w:fill="FFFFFF" w:val="clear"/>
        </w:rPr>
        <w:t>КПП 544543001</w:t>
      </w:r>
    </w:p>
    <w:p>
      <w:pPr>
        <w:pStyle w:val="Normal"/>
        <w:ind w:firstLine="851"/>
        <w:jc w:val="both"/>
        <w:rPr>
          <w:bCs/>
          <w:sz w:val="22"/>
          <w:szCs w:val="22"/>
          <w:shd w:fill="FFFFFF" w:val="clear"/>
        </w:rPr>
      </w:pPr>
      <w:r>
        <w:rPr>
          <w:bCs/>
          <w:sz w:val="22"/>
          <w:szCs w:val="22"/>
          <w:shd w:fill="FFFFFF" w:val="clear"/>
        </w:rPr>
        <w:t>р/с 40817810750221272490</w:t>
      </w:r>
    </w:p>
    <w:p>
      <w:pPr>
        <w:pStyle w:val="Normal"/>
        <w:ind w:firstLine="851"/>
        <w:jc w:val="both"/>
        <w:rPr>
          <w:bCs/>
          <w:sz w:val="22"/>
          <w:szCs w:val="22"/>
          <w:shd w:fill="FFFFFF" w:val="clear"/>
        </w:rPr>
      </w:pPr>
      <w:r>
        <w:rPr>
          <w:bCs/>
          <w:sz w:val="22"/>
          <w:szCs w:val="22"/>
          <w:shd w:fill="FFFFFF" w:val="clear"/>
        </w:rPr>
        <w:t>Банк: ФИЛИАЛ "ЦЕНТРАЛЬНЫЙ" ПАО</w:t>
      </w:r>
    </w:p>
    <w:p>
      <w:pPr>
        <w:pStyle w:val="Normal"/>
        <w:ind w:firstLine="851"/>
        <w:jc w:val="both"/>
        <w:rPr>
          <w:bCs/>
          <w:sz w:val="22"/>
          <w:szCs w:val="22"/>
          <w:shd w:fill="FFFFFF" w:val="clear"/>
        </w:rPr>
      </w:pPr>
      <w:r>
        <w:rPr>
          <w:bCs/>
          <w:sz w:val="22"/>
          <w:szCs w:val="22"/>
          <w:shd w:fill="FFFFFF" w:val="clear"/>
        </w:rPr>
        <w:t>"СОВКОМБАНК"(БЕРДСК)</w:t>
      </w:r>
    </w:p>
    <w:p>
      <w:pPr>
        <w:pStyle w:val="Normal"/>
        <w:ind w:firstLine="851"/>
        <w:jc w:val="both"/>
        <w:rPr>
          <w:bCs/>
          <w:sz w:val="22"/>
          <w:szCs w:val="22"/>
          <w:shd w:fill="FFFFFF" w:val="clear"/>
        </w:rPr>
      </w:pPr>
      <w:r>
        <w:rPr>
          <w:bCs/>
          <w:sz w:val="22"/>
          <w:szCs w:val="22"/>
          <w:shd w:fill="FFFFFF" w:val="clear"/>
        </w:rPr>
        <w:t>БИК 045004763</w:t>
      </w:r>
    </w:p>
    <w:p>
      <w:pPr>
        <w:pStyle w:val="Normal"/>
        <w:ind w:firstLine="851"/>
        <w:jc w:val="both"/>
        <w:rPr>
          <w:bCs/>
          <w:sz w:val="22"/>
          <w:szCs w:val="22"/>
          <w:shd w:fill="FFFFFF" w:val="clear"/>
        </w:rPr>
      </w:pPr>
      <w:r>
        <w:rPr>
          <w:bCs/>
          <w:sz w:val="22"/>
          <w:szCs w:val="22"/>
          <w:shd w:fill="FFFFFF" w:val="clear"/>
        </w:rPr>
        <w:t>к/с 30101810150040000763</w:t>
      </w:r>
    </w:p>
    <w:p>
      <w:pPr>
        <w:pStyle w:val="Normal"/>
        <w:ind w:firstLine="851"/>
        <w:jc w:val="both"/>
        <w:rPr>
          <w:sz w:val="22"/>
          <w:szCs w:val="22"/>
        </w:rPr>
      </w:pPr>
      <w:r>
        <w:rPr>
          <w:b/>
          <w:sz w:val="22"/>
          <w:szCs w:val="22"/>
        </w:rPr>
        <w:t>Поступление задатка, должно быть подтверждено на дату составления протокола об определении участников торгов. Документом, подтверждающим поступление задатка на счет Антоновой (Гореловой) Валентины Алексеевны, является выписка со счета Антоновой (Гореловой) Валентины Алексеевны.</w:t>
      </w:r>
    </w:p>
    <w:p>
      <w:pPr>
        <w:pStyle w:val="Normal"/>
        <w:overflowPunct w:val="true"/>
        <w:ind w:firstLine="851"/>
        <w:jc w:val="both"/>
        <w:textAlignment w:val="baseline"/>
        <w:rPr>
          <w:sz w:val="22"/>
          <w:szCs w:val="22"/>
        </w:rPr>
      </w:pPr>
      <w:r>
        <w:rPr>
          <w:sz w:val="22"/>
          <w:szCs w:val="22"/>
        </w:rPr>
        <w:t>2. Задаток должен поступить на специальный счет Антоновой (Гореловой) Валентины Алексеевны, указанный в п. 1 настоящего Договора на дату и время составления протокола об определении участников торгов</w:t>
      </w:r>
      <w:r>
        <w:rPr>
          <w:sz w:val="22"/>
          <w:szCs w:val="22"/>
          <w:shd w:fill="FFFFFF" w:val="clear"/>
        </w:rPr>
        <w:t>.</w:t>
      </w:r>
      <w:r>
        <w:rPr>
          <w:sz w:val="22"/>
          <w:szCs w:val="22"/>
        </w:rPr>
        <w:t xml:space="preserve"> Задаток считается внесенным с даты поступления всей суммы Задатка на указанный счет. </w:t>
      </w:r>
    </w:p>
    <w:p>
      <w:pPr>
        <w:pStyle w:val="Normal"/>
        <w:overflowPunct w:val="true"/>
        <w:ind w:firstLine="851"/>
        <w:jc w:val="both"/>
        <w:textAlignment w:val="baseline"/>
        <w:rPr>
          <w:sz w:val="22"/>
          <w:szCs w:val="22"/>
        </w:rPr>
      </w:pPr>
      <w:r>
        <w:rPr>
          <w:sz w:val="22"/>
          <w:szCs w:val="22"/>
        </w:rPr>
        <w:t>В случае, когда сумма Задатка от Претендента не зачислена на специальный счет Антоновой (Гореловой) Валентины Алексеевны на дату составления протокола об определении участников торгов о продаже Имущества Должника, Претендент не допускается к участию в торгах. Представление Претендентом платежных документов с отметкой об исполнении при этом во внимание не принимаются.</w:t>
      </w:r>
    </w:p>
    <w:p>
      <w:pPr>
        <w:pStyle w:val="Normal"/>
        <w:ind w:firstLine="851"/>
        <w:jc w:val="both"/>
        <w:rPr>
          <w:sz w:val="22"/>
          <w:szCs w:val="22"/>
        </w:rPr>
      </w:pPr>
      <w:r>
        <w:rPr>
          <w:sz w:val="22"/>
          <w:szCs w:val="22"/>
        </w:rPr>
        <w:t>3. Договор о задатке может быть подписан Претендентом электронной подписью Претендента, либо Претендент вправе направить задаток на счет, указанный в п. 1 настоящего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ЕФРСБ договора о задатке). Задаток служит обеспечением исполнения обязательств Претендента по заключению по итогам торгов договора купли-продажи и оплате цены продажи Имущества (Лота), определенной по итогам торгов, в случае признания Претендента победителем торгов.</w:t>
      </w:r>
    </w:p>
    <w:p>
      <w:pPr>
        <w:pStyle w:val="Normal"/>
        <w:ind w:firstLine="851"/>
        <w:jc w:val="both"/>
        <w:rPr>
          <w:sz w:val="22"/>
          <w:szCs w:val="22"/>
        </w:rPr>
      </w:pPr>
      <w:r>
        <w:rPr>
          <w:sz w:val="22"/>
          <w:szCs w:val="22"/>
        </w:rPr>
        <w:t>4. При перечислении задатка в назначении платежа необходимо указать: «Внесение задатка за участие в торгах №___ (номер сообщения о проведении торгов), номер лота и наименование должника».</w:t>
      </w:r>
    </w:p>
    <w:p>
      <w:pPr>
        <w:pStyle w:val="Normal"/>
        <w:ind w:firstLine="851"/>
        <w:jc w:val="both"/>
        <w:rPr>
          <w:sz w:val="22"/>
          <w:szCs w:val="22"/>
        </w:rPr>
      </w:pPr>
      <w:r>
        <w:rPr>
          <w:sz w:val="22"/>
          <w:szCs w:val="22"/>
        </w:rPr>
        <w:t>5. На денежные средства, перечисленные в соответствии с настоящим Договором, проценты не начисляются.</w:t>
      </w:r>
    </w:p>
    <w:p>
      <w:pPr>
        <w:pStyle w:val="Normal"/>
        <w:ind w:firstLine="851"/>
        <w:jc w:val="both"/>
        <w:rPr>
          <w:sz w:val="22"/>
          <w:szCs w:val="22"/>
        </w:rPr>
      </w:pPr>
      <w:r>
        <w:rPr>
          <w:sz w:val="22"/>
          <w:szCs w:val="22"/>
        </w:rPr>
        <w:t>6. Сроки возврата суммы задатка, внесенного Претендентом на специальный счет Антоновой (Гореловой) Валентины Алексеевны:</w:t>
      </w:r>
    </w:p>
    <w:p>
      <w:pPr>
        <w:pStyle w:val="Normal"/>
        <w:ind w:firstLine="851"/>
        <w:jc w:val="both"/>
        <w:rPr>
          <w:sz w:val="22"/>
          <w:szCs w:val="22"/>
        </w:rPr>
      </w:pPr>
      <w:r>
        <w:rPr>
          <w:sz w:val="22"/>
          <w:szCs w:val="22"/>
        </w:rPr>
        <w:t>6.1. В случае, если Претендент не признан победителем торгов, – в течение 5 (пяти) рабочих дней со дня подписания протокола о результатах проведения торгов.</w:t>
      </w:r>
    </w:p>
    <w:p>
      <w:pPr>
        <w:pStyle w:val="Normal"/>
        <w:ind w:firstLine="851"/>
        <w:jc w:val="both"/>
        <w:rPr>
          <w:sz w:val="22"/>
          <w:szCs w:val="22"/>
        </w:rPr>
      </w:pPr>
      <w:r>
        <w:rPr>
          <w:sz w:val="22"/>
          <w:szCs w:val="22"/>
        </w:rPr>
        <w:t>6.2. В случае отмены торгов Организатор торгов обязуется возвратить сумму внесенного Претендентом Задатка в течение 5 (пяти) рабочих дней со дня подписания организатором торгов приказа об отмене торгов.</w:t>
      </w:r>
    </w:p>
    <w:p>
      <w:pPr>
        <w:pStyle w:val="Normal"/>
        <w:ind w:firstLine="851"/>
        <w:jc w:val="both"/>
        <w:rPr>
          <w:sz w:val="22"/>
          <w:szCs w:val="22"/>
        </w:rPr>
      </w:pPr>
      <w:r>
        <w:rPr>
          <w:sz w:val="22"/>
          <w:szCs w:val="22"/>
        </w:rPr>
        <w:t xml:space="preserve">6.3. Внесенный Задаток не возвращается в случае, если Претендент, признанный победителем торгов, уклонится, либо откажется от подписания договора купли-продажи, от внесения в установленный срок цены продажи Имущества (Лота), определенной по итогам торгов (за вычетом ранее внесенного Задатка). </w:t>
      </w:r>
    </w:p>
    <w:p>
      <w:pPr>
        <w:pStyle w:val="Normal"/>
        <w:ind w:firstLine="851"/>
        <w:jc w:val="both"/>
        <w:rPr>
          <w:sz w:val="22"/>
          <w:szCs w:val="22"/>
        </w:rPr>
      </w:pPr>
      <w:r>
        <w:rPr>
          <w:sz w:val="22"/>
          <w:szCs w:val="22"/>
        </w:rPr>
        <w:t>6.4. В случае признания Претендента победителем торгов сумма внесенного Задатка засчитывается в счет оплаты по договору купли-продажи.</w:t>
      </w:r>
    </w:p>
    <w:p>
      <w:pPr>
        <w:pStyle w:val="Normal"/>
        <w:ind w:firstLine="851"/>
        <w:jc w:val="both"/>
        <w:rPr>
          <w:sz w:val="22"/>
          <w:szCs w:val="22"/>
        </w:rPr>
      </w:pPr>
      <w:r>
        <w:rPr>
          <w:sz w:val="22"/>
          <w:szCs w:val="22"/>
        </w:rPr>
        <w:t>7. В случаях возврата Организатором торгов Задатка Претенденту возврат производится путем безналичного перечисления суммы Задатка со специального счета Антоновой (Гореловой) Валентины Алексеевны на счет Претендента, указанный в реквизитах настоящего Договора.</w:t>
      </w:r>
    </w:p>
    <w:p>
      <w:pPr>
        <w:pStyle w:val="Normal"/>
        <w:ind w:firstLine="851"/>
        <w:jc w:val="both"/>
        <w:rPr>
          <w:sz w:val="22"/>
          <w:szCs w:val="22"/>
        </w:rPr>
      </w:pPr>
      <w:r>
        <w:rPr>
          <w:sz w:val="22"/>
          <w:szCs w:val="22"/>
        </w:rPr>
        <w:t>8.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w:t>
      </w:r>
    </w:p>
    <w:p>
      <w:pPr>
        <w:pStyle w:val="Normal"/>
        <w:ind w:firstLine="851"/>
        <w:jc w:val="both"/>
        <w:rPr>
          <w:b/>
          <w:bCs/>
          <w:sz w:val="22"/>
          <w:szCs w:val="22"/>
        </w:rPr>
      </w:pPr>
      <w:r>
        <w:rPr>
          <w:sz w:val="22"/>
          <w:szCs w:val="22"/>
        </w:rPr>
        <w:t>9.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купли-продажи, подлежащего заключению по итогам торгов.</w:t>
      </w:r>
    </w:p>
    <w:p>
      <w:pPr>
        <w:pStyle w:val="Normal"/>
        <w:ind w:firstLine="284"/>
        <w:jc w:val="center"/>
        <w:rPr>
          <w:b/>
          <w:bCs/>
          <w:sz w:val="22"/>
          <w:szCs w:val="22"/>
        </w:rPr>
      </w:pPr>
      <w:r>
        <w:rPr>
          <w:b/>
          <w:bCs/>
          <w:sz w:val="22"/>
          <w:szCs w:val="22"/>
        </w:rPr>
      </w:r>
    </w:p>
    <w:p>
      <w:pPr>
        <w:pStyle w:val="Normal"/>
        <w:ind w:firstLine="284"/>
        <w:jc w:val="center"/>
        <w:rPr>
          <w:b/>
          <w:bCs/>
          <w:sz w:val="22"/>
          <w:szCs w:val="22"/>
        </w:rPr>
      </w:pPr>
      <w:r>
        <w:rPr>
          <w:b/>
          <w:bCs/>
          <w:sz w:val="22"/>
          <w:szCs w:val="22"/>
        </w:rPr>
        <w:t>Реквизиты сторон:</w:t>
      </w:r>
    </w:p>
    <w:p>
      <w:pPr>
        <w:pStyle w:val="Normal"/>
        <w:ind w:firstLine="284"/>
        <w:jc w:val="center"/>
        <w:rPr>
          <w:b/>
          <w:bCs/>
          <w:sz w:val="22"/>
          <w:szCs w:val="22"/>
        </w:rPr>
      </w:pPr>
      <w:r>
        <w:rPr>
          <w:b/>
          <w:bCs/>
          <w:sz w:val="22"/>
          <w:szCs w:val="22"/>
        </w:rPr>
      </w:r>
    </w:p>
    <w:tbl>
      <w:tblPr>
        <w:tblW w:w="101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142"/>
        <w:gridCol w:w="584"/>
        <w:gridCol w:w="4411"/>
      </w:tblGrid>
      <w:tr>
        <w:trPr>
          <w:trHeight w:val="940" w:hRule="atLeast"/>
        </w:trPr>
        <w:tc>
          <w:tcPr>
            <w:tcW w:w="5142" w:type="dxa"/>
            <w:tcBorders/>
            <w:shd w:color="auto" w:fill="auto" w:val="clear"/>
          </w:tcPr>
          <w:p>
            <w:pPr>
              <w:pStyle w:val="Normal"/>
              <w:jc w:val="center"/>
              <w:rPr>
                <w:sz w:val="22"/>
                <w:szCs w:val="22"/>
              </w:rPr>
            </w:pPr>
            <w:r>
              <w:rPr>
                <w:b/>
                <w:bCs/>
                <w:sz w:val="22"/>
                <w:szCs w:val="22"/>
              </w:rPr>
              <w:t>ОРГАНИЗАТОР ТОРГОВ:</w:t>
            </w:r>
          </w:p>
          <w:p>
            <w:pPr>
              <w:pStyle w:val="Normal"/>
              <w:jc w:val="both"/>
              <w:rPr/>
            </w:pPr>
            <w:r>
              <w:rPr>
                <w:sz w:val="22"/>
                <w:szCs w:val="22"/>
              </w:rPr>
              <w:t>финансовый управляющий Антоновой (Гореловой) Валентины Алексеевны (дата рождения: 03.10.1954, место рождения: гор. Магнитогорск Челябинской обл., место жительства: 457441, Челябинская обл, Агаповский р-н, поселок Первомайский, ул Набережная, д 24А , ИНН 742500705952, СНИЛС 02553182431) – член Союза СРО "ГАУ" (ОГРН 1021603626098, ИНН 1660062005, адрес: : 420034, Респ Татарстан, г Казань, ул. Соловецких Юнг, д. 7, оф. 1004)</w:t>
            </w:r>
          </w:p>
        </w:tc>
        <w:tc>
          <w:tcPr>
            <w:tcW w:w="584" w:type="dxa"/>
            <w:tcBorders/>
            <w:shd w:color="auto" w:fill="auto" w:val="clear"/>
          </w:tcPr>
          <w:p>
            <w:pPr>
              <w:pStyle w:val="Normal"/>
              <w:snapToGrid w:val="false"/>
              <w:ind w:firstLine="284"/>
              <w:jc w:val="both"/>
              <w:rPr>
                <w:sz w:val="22"/>
                <w:szCs w:val="22"/>
              </w:rPr>
            </w:pPr>
            <w:r>
              <w:rPr>
                <w:sz w:val="22"/>
                <w:szCs w:val="22"/>
              </w:rPr>
            </w:r>
          </w:p>
        </w:tc>
        <w:tc>
          <w:tcPr>
            <w:tcW w:w="4411" w:type="dxa"/>
            <w:tcBorders/>
            <w:shd w:color="auto" w:fill="auto" w:val="clear"/>
          </w:tcPr>
          <w:p>
            <w:pPr>
              <w:pStyle w:val="Normal"/>
              <w:jc w:val="both"/>
              <w:rPr>
                <w:b/>
                <w:bCs/>
                <w:sz w:val="22"/>
                <w:szCs w:val="22"/>
              </w:rPr>
            </w:pPr>
            <w:r>
              <w:rPr>
                <w:sz w:val="22"/>
                <w:szCs w:val="22"/>
              </w:rPr>
              <w:tab/>
            </w:r>
            <w:r>
              <w:rPr>
                <w:b/>
                <w:bCs/>
                <w:sz w:val="22"/>
                <w:szCs w:val="22"/>
              </w:rPr>
              <w:t>ПРЕТЕНДЕНТ:</w:t>
            </w:r>
          </w:p>
          <w:p>
            <w:pPr>
              <w:pStyle w:val="Normal"/>
              <w:jc w:val="both"/>
              <w:rPr>
                <w:sz w:val="22"/>
                <w:szCs w:val="22"/>
              </w:rPr>
            </w:pPr>
            <w:r>
              <w:rPr>
                <w:b/>
                <w:bCs/>
                <w:sz w:val="22"/>
                <w:szCs w:val="22"/>
              </w:rPr>
              <w:t>_________________________________</w:t>
            </w:r>
          </w:p>
          <w:p>
            <w:pPr>
              <w:pStyle w:val="Normal"/>
              <w:jc w:val="both"/>
              <w:rPr>
                <w:sz w:val="22"/>
                <w:szCs w:val="22"/>
              </w:rPr>
            </w:pPr>
            <w:r>
              <w:rPr>
                <w:sz w:val="22"/>
                <w:szCs w:val="22"/>
              </w:rPr>
              <w:t>_________________________________</w:t>
            </w:r>
          </w:p>
          <w:p>
            <w:pPr>
              <w:pStyle w:val="Normal"/>
              <w:jc w:val="both"/>
              <w:rPr>
                <w:sz w:val="22"/>
                <w:szCs w:val="22"/>
              </w:rPr>
            </w:pPr>
            <w:r>
              <w:rPr>
                <w:sz w:val="22"/>
                <w:szCs w:val="22"/>
              </w:rPr>
              <w:t>_________________________________</w:t>
            </w:r>
          </w:p>
          <w:p>
            <w:pPr>
              <w:pStyle w:val="Normal"/>
              <w:jc w:val="both"/>
              <w:rPr>
                <w:sz w:val="22"/>
                <w:szCs w:val="22"/>
              </w:rPr>
            </w:pPr>
            <w:r>
              <w:rPr>
                <w:sz w:val="22"/>
                <w:szCs w:val="22"/>
              </w:rPr>
              <w:t>_________________________________</w:t>
            </w:r>
          </w:p>
          <w:p>
            <w:pPr>
              <w:pStyle w:val="Normal"/>
              <w:jc w:val="both"/>
              <w:rPr>
                <w:sz w:val="22"/>
                <w:szCs w:val="22"/>
              </w:rPr>
            </w:pPr>
            <w:r>
              <w:rPr>
                <w:sz w:val="22"/>
                <w:szCs w:val="22"/>
              </w:rPr>
              <w:t>_________________________________</w:t>
            </w:r>
          </w:p>
          <w:p>
            <w:pPr>
              <w:pStyle w:val="Normal"/>
              <w:jc w:val="both"/>
              <w:rPr>
                <w:sz w:val="22"/>
                <w:szCs w:val="22"/>
              </w:rPr>
            </w:pPr>
            <w:r>
              <w:rPr>
                <w:sz w:val="22"/>
                <w:szCs w:val="22"/>
              </w:rPr>
              <w:t>_________________________________</w:t>
            </w:r>
          </w:p>
          <w:p>
            <w:pPr>
              <w:pStyle w:val="Normal"/>
              <w:jc w:val="both"/>
              <w:rPr>
                <w:sz w:val="22"/>
                <w:szCs w:val="22"/>
              </w:rPr>
            </w:pPr>
            <w:r>
              <w:rPr>
                <w:sz w:val="22"/>
                <w:szCs w:val="22"/>
              </w:rPr>
              <w:t>_________________________________</w:t>
            </w:r>
          </w:p>
          <w:p>
            <w:pPr>
              <w:pStyle w:val="Normal"/>
              <w:jc w:val="both"/>
              <w:rPr>
                <w:sz w:val="22"/>
                <w:szCs w:val="22"/>
              </w:rPr>
            </w:pPr>
            <w:r>
              <w:rPr>
                <w:sz w:val="22"/>
                <w:szCs w:val="22"/>
              </w:rPr>
            </w:r>
          </w:p>
        </w:tc>
      </w:tr>
    </w:tbl>
    <w:p>
      <w:pPr>
        <w:pStyle w:val="Normal"/>
        <w:jc w:val="both"/>
        <w:rPr>
          <w:b/>
          <w:bCs/>
          <w:sz w:val="22"/>
          <w:szCs w:val="22"/>
        </w:rPr>
      </w:pPr>
      <w:r>
        <w:rPr>
          <w:b/>
          <w:bCs/>
          <w:sz w:val="22"/>
          <w:szCs w:val="22"/>
        </w:rPr>
      </w:r>
    </w:p>
    <w:p>
      <w:pPr>
        <w:pStyle w:val="Normal"/>
        <w:ind w:firstLine="284"/>
        <w:jc w:val="both"/>
        <w:rPr>
          <w:sz w:val="22"/>
          <w:szCs w:val="22"/>
        </w:rPr>
      </w:pPr>
      <w:r>
        <w:rPr>
          <w:b/>
          <w:bCs/>
          <w:sz w:val="22"/>
          <w:szCs w:val="22"/>
        </w:rPr>
        <w:t xml:space="preserve">  </w:t>
      </w:r>
      <w:r>
        <w:rPr>
          <w:b/>
          <w:bCs/>
          <w:sz w:val="22"/>
          <w:szCs w:val="22"/>
        </w:rPr>
        <w:t xml:space="preserve">ОРГАНИЗАТОР ТОРГОВ </w:t>
        <w:tab/>
        <w:tab/>
        <w:tab/>
        <w:tab/>
        <w:t>ОТ ПРЕТЕНДЕНТА</w:t>
      </w:r>
    </w:p>
    <w:p>
      <w:pPr>
        <w:pStyle w:val="Normal"/>
        <w:rPr/>
      </w:pPr>
      <w:r>
        <w:rPr>
          <w:sz w:val="22"/>
          <w:szCs w:val="22"/>
        </w:rPr>
        <w:t>_____________________/ ____________/</w:t>
        <w:tab/>
        <w:t xml:space="preserve">                    ________________________/_________</w:t>
      </w:r>
    </w:p>
    <w:sectPr>
      <w:type w:val="nextPage"/>
      <w:pgSz w:w="11906" w:h="16838"/>
      <w:pgMar w:left="1134" w:right="849" w:gutter="0" w:header="0" w:top="993"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s>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character" w:styleId="DefaultParagraphFont" w:default="1">
    <w:name w:val="Default Paragraph Font"/>
    <w:uiPriority w:val="1"/>
    <w:semiHidden/>
    <w:unhideWhenUsed/>
    <w:qFormat/>
    <w:rPr/>
  </w:style>
  <w:style w:type="character" w:styleId="1" w:customStyle="1">
    <w:name w:val="Основной шрифт абзаца1"/>
    <w:qFormat/>
    <w:rPr/>
  </w:style>
  <w:style w:type="character" w:styleId="2" w:customStyle="1">
    <w:name w:val="Основной текст 2 Знак"/>
    <w:qFormat/>
    <w:rPr>
      <w:sz w:val="24"/>
      <w:szCs w:val="24"/>
      <w:lang w:val="ru-RU" w:bidi="ar-SA"/>
    </w:rPr>
  </w:style>
  <w:style w:type="character" w:styleId="3" w:customStyle="1">
    <w:name w:val="Основной текст с отступом 3 Знак"/>
    <w:qFormat/>
    <w:rPr>
      <w:sz w:val="16"/>
      <w:szCs w:val="16"/>
      <w:lang w:val="ru-RU" w:bidi="ar-SA"/>
    </w:rPr>
  </w:style>
  <w:style w:type="character" w:styleId="Style14" w:customStyle="1">
    <w:name w:val="Название Знак"/>
    <w:qFormat/>
    <w:rPr>
      <w:b/>
      <w:bCs/>
      <w:sz w:val="28"/>
      <w:szCs w:val="28"/>
      <w:lang w:val="ru-RU" w:bidi="ar-SA"/>
    </w:rPr>
  </w:style>
  <w:style w:type="character" w:styleId="11" w:customStyle="1">
    <w:name w:val="Знак примечания1"/>
    <w:qFormat/>
    <w:rPr>
      <w:sz w:val="16"/>
      <w:szCs w:val="16"/>
    </w:rPr>
  </w:style>
  <w:style w:type="character" w:styleId="Style15" w:customStyle="1">
    <w:name w:val="Текст примечания Знак"/>
    <w:qFormat/>
    <w:rPr>
      <w:color w:val="000000"/>
    </w:rPr>
  </w:style>
  <w:style w:type="character" w:styleId="Style16" w:customStyle="1">
    <w:name w:val="Тема примечания Знак"/>
    <w:qFormat/>
    <w:rPr>
      <w:b/>
      <w:bCs/>
      <w:color w:val="000000"/>
    </w:rPr>
  </w:style>
  <w:style w:type="character" w:styleId="Style17" w:customStyle="1">
    <w:name w:val="Текст выноски Знак"/>
    <w:qFormat/>
    <w:rPr>
      <w:rFonts w:ascii="Segoe UI" w:hAnsi="Segoe UI" w:cs="Segoe UI"/>
      <w:color w:val="000000"/>
      <w:sz w:val="18"/>
      <w:szCs w:val="18"/>
    </w:rPr>
  </w:style>
  <w:style w:type="character" w:styleId="31" w:customStyle="1">
    <w:name w:val="Основной текст 3 Знак"/>
    <w:qFormat/>
    <w:rPr>
      <w:color w:val="000000"/>
      <w:sz w:val="16"/>
      <w:szCs w:val="16"/>
    </w:rPr>
  </w:style>
  <w:style w:type="character" w:styleId="Style18" w:customStyle="1">
    <w:name w:val="Верхний колонтитул Знак"/>
    <w:qFormat/>
    <w:rPr>
      <w:color w:val="000000"/>
      <w:sz w:val="24"/>
      <w:szCs w:val="24"/>
    </w:rPr>
  </w:style>
  <w:style w:type="character" w:styleId="Style19" w:customStyle="1">
    <w:name w:val="Нижний колонтитул Знак"/>
    <w:qFormat/>
    <w:rPr>
      <w:color w:val="000000"/>
      <w:sz w:val="24"/>
      <w:szCs w:val="24"/>
    </w:rPr>
  </w:style>
  <w:style w:type="character" w:styleId="Hyperlink">
    <w:name w:val="Hyperlink"/>
    <w:rPr>
      <w:color w:val="0563C1"/>
      <w:u w:val="single"/>
    </w:rPr>
  </w:style>
  <w:style w:type="character" w:styleId="PlaceholderText">
    <w:name w:val="Placeholder Text"/>
    <w:qFormat/>
    <w:rPr>
      <w:color w:val="808080"/>
    </w:rPr>
  </w:style>
  <w:style w:type="paragraph" w:styleId="Heading" w:customStyle="1">
    <w:name w:val="Heading"/>
    <w:basedOn w:val="Normal"/>
    <w:next w:val="BodyText"/>
    <w:qFormat/>
    <w:pPr>
      <w:jc w:val="center"/>
    </w:pPr>
    <w:rPr>
      <w:b/>
      <w:bC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rPr>
  </w:style>
  <w:style w:type="paragraph" w:styleId="21" w:customStyle="1">
    <w:name w:val="Основной текст 21"/>
    <w:basedOn w:val="Normal"/>
    <w:qFormat/>
    <w:pPr>
      <w:spacing w:lineRule="auto" w:line="480" w:before="0" w:after="120"/>
    </w:pPr>
    <w:rPr/>
  </w:style>
  <w:style w:type="paragraph" w:styleId="311" w:customStyle="1">
    <w:name w:val="Основной текст с отступом 31"/>
    <w:basedOn w:val="Normal"/>
    <w:qFormat/>
    <w:pPr>
      <w:spacing w:before="0" w:after="120"/>
      <w:ind w:left="283"/>
    </w:pPr>
    <w:rPr>
      <w:sz w:val="16"/>
      <w:szCs w:val="16"/>
    </w:rPr>
  </w:style>
  <w:style w:type="paragraph" w:styleId="BodyText2" w:customStyle="1">
    <w:name w:val="Body Text 2"/>
    <w:basedOn w:val="Normal"/>
    <w:qFormat/>
    <w:pPr>
      <w:overflowPunct w:val="true"/>
      <w:ind w:firstLine="567"/>
      <w:jc w:val="both"/>
      <w:textAlignment w:val="baseline"/>
    </w:pPr>
    <w:rPr>
      <w:sz w:val="22"/>
      <w:szCs w:val="20"/>
    </w:rPr>
  </w:style>
  <w:style w:type="paragraph" w:styleId="12" w:customStyle="1">
    <w:name w:val="Текст примечания1"/>
    <w:basedOn w:val="Normal"/>
    <w:qFormat/>
    <w:pPr/>
    <w:rPr>
      <w:sz w:val="20"/>
      <w:szCs w:val="20"/>
    </w:rPr>
  </w:style>
  <w:style w:type="paragraph" w:styleId="Annotationsubject">
    <w:name w:val="annotation subject"/>
    <w:basedOn w:val="12"/>
    <w:next w:val="12"/>
    <w:qFormat/>
    <w:pPr/>
    <w:rPr>
      <w:b/>
      <w:bCs/>
    </w:rPr>
  </w:style>
  <w:style w:type="paragraph" w:styleId="BalloonText">
    <w:name w:val="Balloon Text"/>
    <w:basedOn w:val="Normal"/>
    <w:qFormat/>
    <w:pPr/>
    <w:rPr>
      <w:rFonts w:ascii="Segoe UI" w:hAnsi="Segoe UI" w:cs="Segoe UI"/>
      <w:sz w:val="18"/>
      <w:szCs w:val="18"/>
    </w:rPr>
  </w:style>
  <w:style w:type="paragraph" w:styleId="312" w:customStyle="1">
    <w:name w:val="Основной текст 31"/>
    <w:basedOn w:val="Normal"/>
    <w:qFormat/>
    <w:pPr>
      <w:spacing w:before="0" w:after="120"/>
    </w:pPr>
    <w:rPr>
      <w:sz w:val="16"/>
      <w:szCs w:val="16"/>
    </w:rPr>
  </w:style>
  <w:style w:type="paragraph" w:styleId="HeaderandFooter" w:customStyle="1">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1Doc/1.5.0.$MacOSX_X86_64 LibreOffice_project/2f9b6e7260225c6c2c1401d17cb7be8dc4e3347b</Application>
  <AppVersion>15.0000</AppVersion>
  <Pages>2</Pages>
  <Words>781</Words>
  <Characters>5810</Characters>
  <CharactersWithSpaces>6677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2025-09-17T09:37:00Z</dcterms:created>
  <dc:creator>upr12</dc:creator>
  <dc:description/>
  <dc:language>ru-RU</dc:language>
  <cp:lastModifiedBy/>
  <cp:lastPrinted>1601-01-01T00:00:00Z</cp:lastPrinted>
  <dcterms:modified xsi:type="dcterms:W3CDTF">2026-01-20T10:34:34Z</dcterms:modified>
  <cp:revision>8</cp:revision>
  <dc:subject/>
  <dc:title>Договор о задатке №____</dc:title>
</cp:coreProperties>
</file>

<file path=docProps/custom.xml><?xml version="1.0" encoding="utf-8"?>
<Properties xmlns="http://schemas.openxmlformats.org/officeDocument/2006/custom-properties" xmlns:vt="http://schemas.openxmlformats.org/officeDocument/2006/docPropsVTypes"/>
</file>